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4"/>
        </w:rPr>
      </w:pPr>
    </w:p>
    <w:p>
      <w:pPr>
        <w:tabs>
          <w:tab w:pos="8468" w:val="left" w:leader="none"/>
        </w:tabs>
        <w:spacing w:line="240" w:lineRule="auto"/>
        <w:ind w:left="15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21642" cy="46196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42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68"/>
          <w:sz w:val="20"/>
        </w:rPr>
        <w:t> </w:t>
      </w:r>
      <w:r>
        <w:rPr>
          <w:rFonts w:ascii="Times New Roman"/>
          <w:spacing w:val="68"/>
          <w:position w:val="16"/>
          <w:sz w:val="20"/>
        </w:rPr>
        <w:drawing>
          <wp:inline distT="0" distB="0" distL="0" distR="0">
            <wp:extent cx="1173484" cy="24765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8"/>
          <w:position w:val="16"/>
          <w:sz w:val="20"/>
        </w:rPr>
      </w:r>
      <w:r>
        <w:rPr>
          <w:rFonts w:ascii="Times New Roman"/>
          <w:spacing w:val="68"/>
          <w:position w:val="16"/>
          <w:sz w:val="20"/>
        </w:rPr>
        <w:tab/>
      </w:r>
      <w:r>
        <w:rPr>
          <w:rFonts w:ascii="Times New Roman"/>
          <w:spacing w:val="68"/>
          <w:position w:val="1"/>
          <w:sz w:val="20"/>
        </w:rPr>
        <w:drawing>
          <wp:inline distT="0" distB="0" distL="0" distR="0">
            <wp:extent cx="1316373" cy="50482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7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8"/>
          <w:position w:val="1"/>
          <w:sz w:val="20"/>
        </w:rPr>
      </w: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spacing w:before="155"/>
        <w:ind w:left="115" w:right="0" w:firstLine="0"/>
        <w:jc w:val="left"/>
        <w:rPr>
          <w:rFonts w:ascii="Cera Pro Black" w:hAnsi="Cera Pro Black"/>
          <w:b/>
          <w:sz w:val="65"/>
        </w:rPr>
      </w:pPr>
      <w:r>
        <w:rPr>
          <w:rFonts w:ascii="Cera Pro Black" w:hAnsi="Cera Pro Black"/>
          <w:b/>
          <w:color w:val="000002"/>
          <w:spacing w:val="-6"/>
          <w:sz w:val="65"/>
        </w:rPr>
        <w:t>ЧТО </w:t>
      </w:r>
      <w:r>
        <w:rPr>
          <w:rFonts w:ascii="Cera Pro Black" w:hAnsi="Cera Pro Black"/>
          <w:b/>
          <w:color w:val="000002"/>
          <w:spacing w:val="-7"/>
          <w:sz w:val="65"/>
        </w:rPr>
        <w:t>ДЕЛАТЬ </w:t>
      </w:r>
      <w:r>
        <w:rPr>
          <w:rFonts w:ascii="Cera Pro Black" w:hAnsi="Cera Pro Black"/>
          <w:b/>
          <w:color w:val="000002"/>
          <w:sz w:val="65"/>
        </w:rPr>
        <w:t>ПРИ</w:t>
      </w:r>
      <w:r>
        <w:rPr>
          <w:rFonts w:ascii="Cera Pro Black" w:hAnsi="Cera Pro Black"/>
          <w:b/>
          <w:color w:val="000002"/>
          <w:spacing w:val="52"/>
          <w:sz w:val="65"/>
        </w:rPr>
        <w:t> </w:t>
      </w:r>
      <w:r>
        <w:rPr>
          <w:rFonts w:ascii="Cera Pro Black" w:hAnsi="Cera Pro Black"/>
          <w:b/>
          <w:color w:val="000002"/>
          <w:spacing w:val="-3"/>
          <w:sz w:val="65"/>
        </w:rPr>
        <w:t>ПОДОЗРЕНИИ</w:t>
      </w:r>
    </w:p>
    <w:p>
      <w:pPr>
        <w:spacing w:line="218" w:lineRule="auto" w:before="278"/>
        <w:ind w:left="2547" w:right="0" w:firstLine="0"/>
        <w:jc w:val="left"/>
        <w:rPr>
          <w:rFonts w:ascii="Cera Pro Black" w:hAnsi="Cera Pro Black"/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752748</wp:posOffset>
            </wp:positionH>
            <wp:positionV relativeFrom="paragraph">
              <wp:posOffset>180169</wp:posOffset>
            </wp:positionV>
            <wp:extent cx="1168705" cy="75297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705" cy="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ra Pro Black" w:hAnsi="Cera Pro Black"/>
          <w:b/>
          <w:color w:val="000002"/>
          <w:sz w:val="40"/>
        </w:rPr>
        <w:t>НА ЗАРАЖЕНИЕ ВИРУСОМ </w:t>
      </w:r>
      <w:r>
        <w:rPr>
          <w:rFonts w:ascii="Cera Pro Black" w:hAnsi="Cera Pro Black"/>
          <w:b/>
          <w:color w:val="ED1C24"/>
          <w:sz w:val="40"/>
        </w:rPr>
        <w:t>ГЕПАТИТА С </w:t>
      </w:r>
      <w:r>
        <w:rPr>
          <w:rFonts w:ascii="Cera Pro Black" w:hAnsi="Cera Pro Black"/>
          <w:b/>
          <w:color w:val="000002"/>
          <w:sz w:val="40"/>
        </w:rPr>
        <w:t>ИЛИ ВЫЯВЛЕНИИ АНТИТЕЛ К ВИРУСУ</w:t>
      </w:r>
    </w:p>
    <w:p>
      <w:pPr>
        <w:pStyle w:val="BodyText"/>
        <w:spacing w:before="2"/>
        <w:rPr>
          <w:rFonts w:ascii="Cera Pro Black"/>
          <w:b/>
          <w:sz w:val="76"/>
        </w:rPr>
      </w:pPr>
    </w:p>
    <w:p>
      <w:pPr>
        <w:pStyle w:val="Heading1"/>
        <w:spacing w:before="0"/>
        <w:ind w:left="3092"/>
        <w:rPr>
          <w:b/>
        </w:rPr>
      </w:pPr>
      <w:r>
        <w:rPr>
          <w:b/>
          <w:color w:val="231F20"/>
        </w:rPr>
        <w:t>КАК ВЫЯВИТЬ ЗАБОЛЕВАНИЕ?</w:t>
      </w:r>
    </w:p>
    <w:p>
      <w:pPr>
        <w:pStyle w:val="BodyText"/>
        <w:spacing w:line="204" w:lineRule="auto" w:before="64"/>
        <w:ind w:left="1859" w:right="2102"/>
        <w:jc w:val="center"/>
      </w:pPr>
      <w:r>
        <w:rPr>
          <w:color w:val="ED1C24"/>
          <w:w w:val="85"/>
        </w:rPr>
        <w:t>Гепатит С </w:t>
      </w:r>
      <w:r>
        <w:rPr>
          <w:color w:val="231F20"/>
          <w:w w:val="85"/>
        </w:rPr>
        <w:t>можно выявить только с помощью специальных </w:t>
      </w:r>
      <w:r>
        <w:rPr>
          <w:color w:val="231F20"/>
          <w:w w:val="80"/>
        </w:rPr>
        <w:t>исследований, которые условно можно разделить на </w:t>
      </w:r>
      <w:r>
        <w:rPr>
          <w:color w:val="ED1C24"/>
          <w:w w:val="80"/>
        </w:rPr>
        <w:t>3 группы: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3"/>
        <w:rPr>
          <w:sz w:val="3"/>
        </w:rPr>
      </w:pPr>
    </w:p>
    <w:p>
      <w:pPr>
        <w:spacing w:before="0"/>
        <w:ind w:left="1743" w:right="2103" w:firstLine="0"/>
        <w:jc w:val="center"/>
        <w:rPr>
          <w:rFonts w:ascii="Gilroy Light" w:hAnsi="Gilroy Light"/>
          <w:b w:val="0"/>
          <w:sz w:val="4"/>
        </w:rPr>
      </w:pPr>
      <w:r>
        <w:rPr/>
        <w:pict>
          <v:shape style="position:absolute;margin-left:137.9608pt;margin-top:1.275163pt;width:14.9pt;height:3.05pt;mso-position-horizontal-relative:page;mso-position-vertical-relative:paragraph;z-index:1072;rotation:333" type="#_x0000_t136" fillcolor="#b73049" stroked="f">
            <o:extrusion v:ext="view" autorotationcenter="t"/>
            <v:textpath style="font-family:&amp;quot;Arial&amp;quot;;font-size:3pt;v-text-kern:t;mso-text-shadow:auto;font-weight:bold" string="ГЕПАТИТ С -"/>
            <w10:wrap type="none"/>
          </v:shape>
        </w:pict>
      </w:r>
      <w:r>
        <w:rPr/>
        <w:pict>
          <v:shape style="position:absolute;margin-left:150.445770pt;margin-top:-3.121959pt;width:1.25pt;height:3.05pt;mso-position-horizontal-relative:page;mso-position-vertical-relative:paragraph;z-index:1096;rotation:333" type="#_x0000_t136" fillcolor="#5d3b43" stroked="f">
            <o:extrusion v:ext="view" autorotationcenter="t"/>
            <v:textpath style="font-family:&amp;quot;FreesiaUPC&amp;quot;;font-size:3pt;v-text-kern:t;mso-text-shadow:auto" string="+"/>
            <w10:wrap type="none"/>
          </v:shape>
        </w:pict>
      </w:r>
      <w:r>
        <w:rPr>
          <w:rFonts w:ascii="Gilroy Light" w:hAnsi="Gilroy Light"/>
          <w:b w:val="0"/>
          <w:color w:val="FFFFFF"/>
          <w:sz w:val="4"/>
        </w:rPr>
        <w:t>Гепатит С</w:t>
      </w:r>
    </w:p>
    <w:p>
      <w:pPr>
        <w:spacing w:before="20"/>
        <w:ind w:left="1787" w:right="2103" w:firstLine="0"/>
        <w:jc w:val="center"/>
        <w:rPr>
          <w:rFonts w:ascii="Trebuchet MS"/>
          <w:b/>
          <w:sz w:val="5"/>
        </w:rPr>
      </w:pPr>
      <w:r>
        <w:rPr>
          <w:rFonts w:ascii="Trebuchet MS"/>
          <w:b/>
          <w:color w:val="F05975"/>
          <w:sz w:val="5"/>
        </w:rPr>
        <w:t>+    </w:t>
      </w:r>
      <w:r>
        <w:rPr>
          <w:rFonts w:ascii="Trebuchet MS"/>
          <w:b/>
          <w:color w:val="F05975"/>
          <w:spacing w:val="4"/>
          <w:sz w:val="5"/>
        </w:rPr>
        <w:t> </w:t>
      </w:r>
      <w:r>
        <w:rPr>
          <w:rFonts w:ascii="Trebuchet MS"/>
          <w:b/>
          <w:color w:val="F05975"/>
          <w:sz w:val="5"/>
        </w:rPr>
        <w:t>-</w:t>
      </w:r>
    </w:p>
    <w:p>
      <w:pPr>
        <w:pStyle w:val="BodyText"/>
        <w:rPr>
          <w:rFonts w:ascii="Trebuchet MS"/>
          <w:b/>
          <w:sz w:val="6"/>
        </w:rPr>
      </w:pPr>
    </w:p>
    <w:p>
      <w:pPr>
        <w:pStyle w:val="BodyText"/>
        <w:spacing w:before="7"/>
        <w:rPr>
          <w:rFonts w:ascii="Trebuchet MS"/>
          <w:b/>
          <w:sz w:val="5"/>
        </w:rPr>
      </w:pPr>
    </w:p>
    <w:p>
      <w:pPr>
        <w:tabs>
          <w:tab w:pos="4159" w:val="left" w:leader="none"/>
          <w:tab w:pos="7406" w:val="left" w:leader="none"/>
        </w:tabs>
        <w:spacing w:before="0"/>
        <w:ind w:left="990" w:right="0" w:firstLine="0"/>
        <w:jc w:val="left"/>
        <w:rPr>
          <w:sz w:val="28"/>
        </w:rPr>
      </w:pPr>
      <w:r>
        <w:rPr>
          <w:color w:val="ED1C24"/>
          <w:w w:val="80"/>
          <w:position w:val="1"/>
          <w:sz w:val="28"/>
        </w:rPr>
        <w:t>1</w:t>
        <w:tab/>
      </w:r>
      <w:r>
        <w:rPr>
          <w:color w:val="ED1C24"/>
          <w:w w:val="85"/>
          <w:position w:val="2"/>
          <w:sz w:val="28"/>
        </w:rPr>
        <w:t>2</w:t>
        <w:tab/>
      </w:r>
      <w:r>
        <w:rPr>
          <w:color w:val="ED1C24"/>
          <w:w w:val="85"/>
          <w:sz w:val="28"/>
        </w:rPr>
        <w:t>3</w:t>
      </w:r>
    </w:p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0" w:bottom="0" w:left="780" w:right="480"/>
        </w:sectPr>
      </w:pPr>
    </w:p>
    <w:p>
      <w:pPr>
        <w:pStyle w:val="BodyText"/>
        <w:spacing w:line="204" w:lineRule="auto" w:before="169"/>
        <w:ind w:left="350" w:right="38" w:hanging="1"/>
        <w:jc w:val="center"/>
      </w:pPr>
      <w:r>
        <w:rPr>
          <w:color w:val="231F20"/>
          <w:w w:val="90"/>
        </w:rPr>
        <w:t>анализы крови, которые </w:t>
      </w:r>
      <w:r>
        <w:rPr>
          <w:color w:val="231F20"/>
          <w:w w:val="80"/>
        </w:rPr>
        <w:t>указывают на инфицирование </w:t>
      </w:r>
      <w:r>
        <w:rPr>
          <w:color w:val="231F20"/>
          <w:w w:val="85"/>
        </w:rPr>
        <w:t>вирусом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настоящее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время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6"/>
          <w:w w:val="85"/>
        </w:rPr>
        <w:t>или </w:t>
      </w:r>
      <w:r>
        <w:rPr>
          <w:color w:val="231F20"/>
          <w:w w:val="90"/>
        </w:rPr>
        <w:t>на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ранее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перенесенный</w:t>
      </w:r>
    </w:p>
    <w:p>
      <w:pPr>
        <w:pStyle w:val="BodyText"/>
        <w:spacing w:line="275" w:lineRule="exact"/>
        <w:ind w:left="1452" w:right="1086"/>
        <w:jc w:val="center"/>
      </w:pPr>
      <w:r>
        <w:rPr>
          <w:color w:val="ED1C24"/>
          <w:w w:val="95"/>
        </w:rPr>
        <w:t>гепатит С</w:t>
      </w:r>
    </w:p>
    <w:p>
      <w:pPr>
        <w:pStyle w:val="BodyText"/>
        <w:spacing w:line="204" w:lineRule="auto" w:before="132"/>
        <w:ind w:left="350" w:hanging="1"/>
        <w:jc w:val="center"/>
      </w:pPr>
      <w:r>
        <w:rPr/>
        <w:br w:type="column"/>
      </w:r>
      <w:r>
        <w:rPr>
          <w:color w:val="231F20"/>
          <w:w w:val="85"/>
        </w:rPr>
        <w:t>анализы крови, </w:t>
      </w:r>
      <w:r>
        <w:rPr>
          <w:color w:val="231F20"/>
          <w:w w:val="80"/>
        </w:rPr>
        <w:t>которые отражают воспаление печени, </w:t>
      </w:r>
      <w:r>
        <w:rPr>
          <w:color w:val="231F20"/>
          <w:w w:val="85"/>
        </w:rPr>
        <w:t>а также функцию </w:t>
      </w:r>
      <w:r>
        <w:rPr>
          <w:color w:val="231F20"/>
          <w:w w:val="90"/>
        </w:rPr>
        <w:t>печени</w:t>
      </w:r>
    </w:p>
    <w:p>
      <w:pPr>
        <w:pStyle w:val="BodyText"/>
        <w:spacing w:line="204" w:lineRule="auto" w:before="168"/>
        <w:ind w:left="265" w:right="420" w:hanging="1"/>
        <w:jc w:val="center"/>
      </w:pPr>
      <w:r>
        <w:rPr/>
        <w:br w:type="column"/>
      </w:r>
      <w:r>
        <w:rPr>
          <w:color w:val="231F20"/>
          <w:w w:val="80"/>
        </w:rPr>
        <w:t>исследования, которые помогают оценить размеры печени, </w:t>
      </w:r>
      <w:r>
        <w:rPr>
          <w:color w:val="231F20"/>
          <w:spacing w:val="-3"/>
          <w:w w:val="80"/>
        </w:rPr>
        <w:t>состояние </w:t>
      </w:r>
      <w:r>
        <w:rPr>
          <w:color w:val="231F20"/>
          <w:w w:val="85"/>
        </w:rPr>
        <w:t>ее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ткани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других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органов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брюшной </w:t>
      </w:r>
      <w:r>
        <w:rPr>
          <w:color w:val="231F20"/>
          <w:w w:val="90"/>
        </w:rPr>
        <w:t>полости (УЗИ и другие </w:t>
      </w:r>
      <w:r>
        <w:rPr>
          <w:color w:val="231F20"/>
          <w:w w:val="80"/>
        </w:rPr>
        <w:t>инструментальные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исследования).</w:t>
      </w:r>
    </w:p>
    <w:p>
      <w:pPr>
        <w:spacing w:after="0" w:line="204" w:lineRule="auto"/>
        <w:jc w:val="center"/>
        <w:sectPr>
          <w:type w:val="continuous"/>
          <w:pgSz w:w="11910" w:h="16840"/>
          <w:pgMar w:top="0" w:bottom="0" w:left="780" w:right="480"/>
          <w:cols w:num="3" w:equalWidth="0">
            <w:col w:w="3696" w:space="119"/>
            <w:col w:w="2390" w:space="39"/>
            <w:col w:w="44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line="228" w:lineRule="auto"/>
        <w:ind w:right="2103"/>
        <w:jc w:val="center"/>
        <w:rPr>
          <w:b/>
        </w:rPr>
      </w:pPr>
      <w:r>
        <w:rPr>
          <w:b/>
          <w:color w:val="231F20"/>
        </w:rPr>
        <w:t>ЧТО ДЕЛАТЬ ПРИ ПОДОЗРЕНИИ НА ЗАРАЖЕНИЕ ВИРУСОМ </w:t>
      </w:r>
      <w:r>
        <w:rPr>
          <w:b/>
          <w:color w:val="ED1C24"/>
        </w:rPr>
        <w:t>ГЕПАТИТА С </w:t>
      </w:r>
      <w:r>
        <w:rPr>
          <w:b/>
          <w:color w:val="231F20"/>
        </w:rPr>
        <w:t>ИЛИ ВЫЯВЛЕНИИ АНТИТЕЛ К ВИРУСУ?</w:t>
      </w:r>
    </w:p>
    <w:p>
      <w:pPr>
        <w:pStyle w:val="BodyText"/>
        <w:rPr>
          <w:rFonts w:ascii="Cera Pro Black"/>
          <w:b/>
          <w:sz w:val="20"/>
        </w:rPr>
      </w:pPr>
    </w:p>
    <w:p>
      <w:pPr>
        <w:pStyle w:val="BodyText"/>
        <w:rPr>
          <w:rFonts w:ascii="Cera Pro Black"/>
          <w:b/>
          <w:sz w:val="20"/>
        </w:rPr>
      </w:pPr>
    </w:p>
    <w:p>
      <w:pPr>
        <w:pStyle w:val="BodyText"/>
        <w:rPr>
          <w:rFonts w:ascii="Cera Pro Black"/>
          <w:b/>
          <w:sz w:val="20"/>
        </w:rPr>
      </w:pPr>
    </w:p>
    <w:p>
      <w:pPr>
        <w:pStyle w:val="BodyText"/>
        <w:rPr>
          <w:rFonts w:ascii="Cera Pro Black"/>
          <w:b/>
          <w:sz w:val="20"/>
        </w:rPr>
      </w:pPr>
    </w:p>
    <w:p>
      <w:pPr>
        <w:pStyle w:val="BodyText"/>
        <w:rPr>
          <w:rFonts w:ascii="Cera Pro Black"/>
          <w:b/>
          <w:sz w:val="20"/>
        </w:rPr>
      </w:pPr>
    </w:p>
    <w:p>
      <w:pPr>
        <w:pStyle w:val="BodyText"/>
        <w:rPr>
          <w:rFonts w:ascii="Cera Pro Black"/>
          <w:b/>
          <w:sz w:val="20"/>
        </w:rPr>
      </w:pPr>
    </w:p>
    <w:p>
      <w:pPr>
        <w:spacing w:after="0"/>
        <w:rPr>
          <w:rFonts w:ascii="Cera Pro Black"/>
          <w:sz w:val="20"/>
        </w:rPr>
        <w:sectPr>
          <w:type w:val="continuous"/>
          <w:pgSz w:w="11910" w:h="16840"/>
          <w:pgMar w:top="0" w:bottom="0" w:left="780" w:right="480"/>
        </w:sectPr>
      </w:pPr>
    </w:p>
    <w:p>
      <w:pPr>
        <w:pStyle w:val="BodyText"/>
        <w:spacing w:before="10"/>
        <w:rPr>
          <w:rFonts w:ascii="Cera Pro Black"/>
          <w:b/>
          <w:sz w:val="21"/>
        </w:rPr>
      </w:pPr>
    </w:p>
    <w:p>
      <w:pPr>
        <w:pStyle w:val="BodyText"/>
        <w:spacing w:line="204" w:lineRule="auto"/>
        <w:ind w:left="228" w:right="38"/>
        <w:jc w:val="center"/>
      </w:pPr>
      <w:r>
        <w:rPr>
          <w:color w:val="231F20"/>
          <w:w w:val="80"/>
        </w:rPr>
        <w:t>Если есть обоснованные подозрения на заражение вирусом </w:t>
      </w:r>
      <w:r>
        <w:rPr>
          <w:color w:val="ED1C24"/>
          <w:w w:val="85"/>
        </w:rPr>
        <w:t>гепатита С</w:t>
      </w:r>
      <w:r>
        <w:rPr>
          <w:color w:val="231F20"/>
          <w:w w:val="85"/>
        </w:rPr>
        <w:t>, а также, если в результате лабораторного </w:t>
      </w:r>
      <w:r>
        <w:rPr>
          <w:color w:val="231F20"/>
          <w:w w:val="80"/>
        </w:rPr>
        <w:t>исследования обнаружены </w:t>
      </w:r>
      <w:r>
        <w:rPr>
          <w:color w:val="ED1C24"/>
          <w:w w:val="80"/>
        </w:rPr>
        <w:t>антитела </w:t>
      </w:r>
      <w:r>
        <w:rPr>
          <w:color w:val="231F20"/>
          <w:w w:val="80"/>
        </w:rPr>
        <w:t>к вирусу </w:t>
      </w:r>
      <w:r>
        <w:rPr>
          <w:color w:val="ED1C24"/>
          <w:w w:val="80"/>
        </w:rPr>
        <w:t>гепатита С </w:t>
      </w:r>
      <w:r>
        <w:rPr>
          <w:color w:val="231F20"/>
          <w:w w:val="80"/>
        </w:rPr>
        <w:t>или </w:t>
      </w:r>
      <w:r>
        <w:rPr>
          <w:color w:val="ED1C24"/>
          <w:w w:val="80"/>
        </w:rPr>
        <w:t>рибонуклеиновую кислоту </w:t>
      </w:r>
      <w:r>
        <w:rPr>
          <w:color w:val="231F20"/>
          <w:w w:val="80"/>
        </w:rPr>
        <w:t>вируса </w:t>
      </w:r>
      <w:r>
        <w:rPr>
          <w:color w:val="ED1C24"/>
          <w:w w:val="80"/>
        </w:rPr>
        <w:t>гепатита С</w:t>
      </w:r>
      <w:r>
        <w:rPr>
          <w:color w:val="231F20"/>
          <w:w w:val="80"/>
        </w:rPr>
        <w:t>, необходимо </w:t>
      </w:r>
      <w:r>
        <w:rPr>
          <w:color w:val="231F20"/>
          <w:w w:val="90"/>
        </w:rPr>
        <w:t>сразу обратиться в медицинскую организацию.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4" w:lineRule="auto"/>
        <w:ind w:left="497" w:right="952"/>
        <w:jc w:val="center"/>
      </w:pPr>
      <w:r>
        <w:rPr>
          <w:color w:val="231F20"/>
          <w:w w:val="85"/>
        </w:rPr>
        <w:t>Врач примет </w:t>
      </w:r>
      <w:r>
        <w:rPr>
          <w:color w:val="231F20"/>
          <w:spacing w:val="-3"/>
          <w:w w:val="85"/>
        </w:rPr>
        <w:t>решение </w:t>
      </w:r>
      <w:r>
        <w:rPr>
          <w:color w:val="231F20"/>
          <w:w w:val="90"/>
        </w:rPr>
        <w:t>о необходимости</w:t>
      </w:r>
    </w:p>
    <w:p>
      <w:pPr>
        <w:pStyle w:val="BodyText"/>
        <w:spacing w:line="204" w:lineRule="auto"/>
        <w:ind w:left="242" w:right="698"/>
        <w:jc w:val="center"/>
      </w:pPr>
      <w:r>
        <w:rPr>
          <w:color w:val="231F20"/>
          <w:w w:val="80"/>
        </w:rPr>
        <w:t>дальнейшего обследования </w:t>
      </w:r>
      <w:r>
        <w:rPr>
          <w:color w:val="231F20"/>
          <w:w w:val="90"/>
        </w:rPr>
        <w:t>и лечения.</w:t>
      </w:r>
    </w:p>
    <w:p>
      <w:pPr>
        <w:spacing w:after="0" w:line="204" w:lineRule="auto"/>
        <w:jc w:val="center"/>
        <w:sectPr>
          <w:type w:val="continuous"/>
          <w:pgSz w:w="11910" w:h="16840"/>
          <w:pgMar w:top="0" w:bottom="0" w:left="780" w:right="480"/>
          <w:cols w:num="2" w:equalWidth="0">
            <w:col w:w="6444" w:space="425"/>
            <w:col w:w="378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26pt;margin-top:197.345505pt;width:595.3pt;height:644.550pt;mso-position-horizontal-relative:page;mso-position-vertical-relative:page;z-index:-4816" coordorigin="0,3947" coordsize="11906,12891">
            <v:shape style="position:absolute;left:0;top:3946;width:11906;height:12891" type="#_x0000_t75" stroked="false">
              <v:imagedata r:id="rId9" o:title=""/>
            </v:shape>
            <v:shape style="position:absolute;left:1373;top:15340;width:652;height:217" type="#_x0000_t75" stroked="false">
              <v:imagedata r:id="rId10" o:title=""/>
            </v:shape>
            <v:rect style="position:absolute;left:1052;top:15788;width:786;height:43" filled="true" fillcolor="#8c8991" stroked="false">
              <v:fill opacity="1285f" type="solid"/>
            </v:rect>
            <v:rect style="position:absolute;left:1054;top:15788;width:784;height:43" filled="true" fillcolor="#8d878e" stroked="false">
              <v:fill opacity="2569f" type="solid"/>
            </v:rect>
            <v:rect style="position:absolute;left:1055;top:15788;width:781;height:43" filled="true" fillcolor="#8e868b" stroked="false">
              <v:fill opacity="3855f" type="solid"/>
            </v:rect>
            <v:rect style="position:absolute;left:1056;top:15788;width:778;height:42" filled="true" fillcolor="#908488" stroked="false">
              <v:fill opacity="5139f" type="solid"/>
            </v:rect>
            <v:rect style="position:absolute;left:1058;top:15788;width:775;height:42" filled="true" fillcolor="#918286" stroked="false">
              <v:fill opacity="6425f" type="solid"/>
            </v:rect>
            <v:rect style="position:absolute;left:1059;top:15788;width:772;height:42" filled="true" fillcolor="#928083" stroked="false">
              <v:fill opacity="7709f" type="solid"/>
            </v:rect>
            <v:rect style="position:absolute;left:1061;top:15788;width:770;height:41" filled="true" fillcolor="#937f80" stroked="false">
              <v:fill opacity="8995f" type="solid"/>
            </v:rect>
            <v:rect style="position:absolute;left:1062;top:15788;width:767;height:41" filled="true" fillcolor="#947d7e" stroked="false">
              <v:fill opacity="10279f" type="solid"/>
            </v:rect>
            <v:rect style="position:absolute;left:1063;top:15788;width:764;height:41" filled="true" fillcolor="#957b7b" stroked="false">
              <v:fill opacity="11565f" type="solid"/>
            </v:rect>
            <v:rect style="position:absolute;left:1065;top:15789;width:761;height:40" filled="true" fillcolor="#967979" stroked="false">
              <v:fill opacity="12849f" type="solid"/>
            </v:rect>
            <v:rect style="position:absolute;left:1066;top:15789;width:758;height:40" filled="true" fillcolor="#967876" stroked="false">
              <v:fill opacity="14135f" type="solid"/>
            </v:rect>
            <v:rect style="position:absolute;left:1068;top:15789;width:756;height:40" filled="true" fillcolor="#977674" stroked="false">
              <v:fill opacity="15420f" type="solid"/>
            </v:rect>
            <v:rect style="position:absolute;left:1069;top:15789;width:753;height:39" filled="true" fillcolor="#987471" stroked="false">
              <v:fill opacity="16704f" type="solid"/>
            </v:rect>
            <v:rect style="position:absolute;left:1070;top:15789;width:750;height:39" filled="true" fillcolor="#99736f" stroked="false">
              <v:fill opacity="17990f" type="solid"/>
            </v:rect>
            <v:rect style="position:absolute;left:1072;top:15789;width:747;height:39" filled="true" fillcolor="#9a716c" stroked="false">
              <v:fill opacity="19274f" type="solid"/>
            </v:rect>
            <v:rect style="position:absolute;left:1073;top:15789;width:744;height:38" filled="true" fillcolor="#9a6f6a" stroked="false">
              <v:fill opacity="20560f" type="solid"/>
            </v:rect>
            <v:rect style="position:absolute;left:1075;top:15789;width:741;height:38" filled="true" fillcolor="#9b6d68" stroked="false">
              <v:fill opacity="21844f" type="solid"/>
            </v:rect>
            <v:rect style="position:absolute;left:1076;top:15789;width:739;height:38" filled="true" fillcolor="#9c6c65" stroked="false">
              <v:fill opacity="23130f" type="solid"/>
            </v:rect>
            <v:rect style="position:absolute;left:1077;top:15789;width:736;height:38" filled="true" fillcolor="#9d6a63" stroked="false">
              <v:fill opacity="24414f" type="solid"/>
            </v:rect>
            <v:rect style="position:absolute;left:1079;top:15789;width:733;height:37" filled="true" fillcolor="#9d6861" stroked="false">
              <v:fill opacity="25700f" type="solid"/>
            </v:rect>
            <v:rect style="position:absolute;left:1080;top:15789;width:730;height:37" filled="true" fillcolor="#9e665f" stroked="false">
              <v:fill opacity="26984f" type="solid"/>
            </v:rect>
            <v:rect style="position:absolute;left:1082;top:15789;width:727;height:37" filled="true" fillcolor="#9f655c" stroked="false">
              <v:fill opacity="28270f" type="solid"/>
            </v:rect>
            <v:rect style="position:absolute;left:1083;top:15789;width:725;height:36" filled="true" fillcolor="#9f635a" stroked="false">
              <v:fill opacity="29555f" type="solid"/>
            </v:rect>
            <v:rect style="position:absolute;left:1084;top:15789;width:722;height:36" filled="true" fillcolor="#a06158" stroked="false">
              <v:fill opacity="30839f" type="solid"/>
            </v:rect>
            <v:rect style="position:absolute;left:1086;top:15789;width:719;height:36" filled="true" fillcolor="#a15f56" stroked="false">
              <v:fill opacity="32125f" type="solid"/>
            </v:rect>
            <v:rect style="position:absolute;left:1087;top:15789;width:716;height:35" filled="true" fillcolor="#a15d53" stroked="false">
              <v:fill opacity="33410f" type="solid"/>
            </v:rect>
            <v:rect style="position:absolute;left:1089;top:15789;width:713;height:35" filled="true" fillcolor="#a25b51" stroked="false">
              <v:fill opacity="34696f" type="solid"/>
            </v:rect>
            <v:rect style="position:absolute;left:1090;top:15789;width:711;height:35" filled="true" fillcolor="#a2594f" stroked="false">
              <v:fill opacity="35980f" type="solid"/>
            </v:rect>
            <v:rect style="position:absolute;left:1091;top:15789;width:708;height:34" filled="true" fillcolor="#a3574c" stroked="false">
              <v:fill opacity="37265f" type="solid"/>
            </v:rect>
            <v:rect style="position:absolute;left:1093;top:15789;width:705;height:34" filled="true" fillcolor="#a4554a" stroked="false">
              <v:fill opacity="38551f" type="solid"/>
            </v:rect>
            <v:rect style="position:absolute;left:1094;top:15789;width:702;height:34" filled="true" fillcolor="#a45348" stroked="false">
              <v:fill opacity="39835f" type="solid"/>
            </v:rect>
            <v:rect style="position:absolute;left:1096;top:15789;width:699;height:33" filled="true" fillcolor="#a55146" stroked="false">
              <v:fill opacity="41121f" type="solid"/>
            </v:rect>
            <v:rect style="position:absolute;left:1097;top:15789;width:697;height:33" filled="true" fillcolor="#a54f44" stroked="false">
              <v:fill opacity="42405f" type="solid"/>
            </v:rect>
            <v:rect style="position:absolute;left:1098;top:15789;width:694;height:33" filled="true" fillcolor="#a64d41" stroked="false">
              <v:fill opacity="43691f" type="solid"/>
            </v:rect>
            <v:shape style="position:absolute;left:1045;top:15537;width:802;height:268" type="#_x0000_t75" stroked="false">
              <v:imagedata r:id="rId11" o:title=""/>
            </v:shape>
            <v:shape style="position:absolute;left:2048;top:15945;width:388;height:57" type="#_x0000_t75" stroked="false">
              <v:imagedata r:id="rId12" o:title=""/>
            </v:shape>
            <v:shape style="position:absolute;left:2009;top:15520;width:466;height:466" type="#_x0000_t75" stroked="false">
              <v:imagedata r:id="rId13" o:title=""/>
            </v:shape>
            <v:shape style="position:absolute;left:2195;top:5664;width:1195;height:1189" type="#_x0000_t75" stroked="false">
              <v:imagedata r:id="rId14" o:title=""/>
            </v:shape>
            <v:shape style="position:absolute;left:8522;top:5656;width:1192;height:1419" type="#_x0000_t75" stroked="false">
              <v:imagedata r:id="rId15" o:title=""/>
            </v:shape>
            <v:shape style="position:absolute;left:8871;top:5846;width:151;height:103" type="#_x0000_t75" stroked="false">
              <v:imagedata r:id="rId16" o:title=""/>
            </v:shape>
            <v:shape style="position:absolute;left:8871;top:5846;width:142;height:99" type="#_x0000_t75" stroked="false">
              <v:imagedata r:id="rId17" o:title=""/>
            </v:shape>
            <v:shape style="position:absolute;left:8876;top:5850;width:63;height:70" type="#_x0000_t75" stroked="false">
              <v:imagedata r:id="rId18" o:title=""/>
            </v:shape>
            <v:shape style="position:absolute;left:7482;top:4913;width:3284;height:2332" type="#_x0000_t75" stroked="false">
              <v:imagedata r:id="rId19" o:title=""/>
            </v:shape>
            <v:shape style="position:absolute;left:2771;top:10340;width:1968;height:1527" type="#_x0000_t75" stroked="false">
              <v:imagedata r:id="rId20" o:title=""/>
            </v:shape>
            <v:shape style="position:absolute;left:8301;top:10220;width:1947;height:1897" type="#_x0000_t75" stroked="false">
              <v:imagedata r:id="rId21" o:title=""/>
            </v:shape>
            <v:rect style="position:absolute;left:7500;top:11868;width:3268;height:1137" filled="true" fillcolor="#f3efe2" stroked="false">
              <v:fill type="solid"/>
            </v:rect>
            <v:shape style="position:absolute;left:1600;top:6390;width:6867;height:451" coordorigin="1601,6391" coordsize="6867,451" path="m2030,6614l2019,6546,1989,6487,1942,6441,1883,6410,1815,6399,1748,6410,1689,6441,1642,6487,1612,6546,1601,6614,1612,6682,1642,6741,1689,6787,1748,6818,1815,6829,1883,6818,1942,6787,1989,6741,2019,6682,2030,6614m5240,6606l5229,6538,5199,6479,5152,6432,5093,6402,5025,6391,4957,6402,4899,6432,4852,6479,4822,6538,4811,6606,4822,6673,4852,6732,4899,6779,4957,6809,5025,6820,5093,6809,5152,6779,5199,6732,5229,6673,5240,6606m8467,6627l8456,6559,8426,6500,8379,6453,8320,6423,8252,6412,8184,6423,8125,6453,8079,6500,8049,6559,8038,6627,8049,6695,8079,6754,8125,6800,8184,6830,8252,6841,8320,6830,8379,6800,8426,6754,8456,6695,8467,6627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2"/>
        <w:rPr>
          <w:sz w:val="27"/>
        </w:rPr>
      </w:pPr>
    </w:p>
    <w:p>
      <w:pPr>
        <w:pStyle w:val="Heading1"/>
        <w:spacing w:line="228" w:lineRule="auto"/>
        <w:ind w:left="3278" w:right="1784" w:firstLine="300"/>
        <w:rPr>
          <w:b/>
        </w:rPr>
      </w:pPr>
      <w:r>
        <w:rPr>
          <w:b/>
          <w:color w:val="231F20"/>
        </w:rPr>
        <w:t>МОЖНО ЛИ ВЫЛЕЧИТЬ ХРОНИЧЕСКИЙ </w:t>
      </w:r>
      <w:r>
        <w:rPr>
          <w:b/>
          <w:color w:val="ED1C24"/>
        </w:rPr>
        <w:t>ГЕПАТИТ С?</w:t>
      </w:r>
    </w:p>
    <w:p>
      <w:pPr>
        <w:pStyle w:val="BodyText"/>
        <w:tabs>
          <w:tab w:pos="939" w:val="left" w:leader="none"/>
          <w:tab w:pos="2179" w:val="left" w:leader="none"/>
        </w:tabs>
        <w:spacing w:line="277" w:lineRule="exact" w:before="306"/>
        <w:ind w:left="667"/>
      </w:pPr>
      <w:r>
        <w:rPr>
          <w:color w:val="ED1C24"/>
          <w:w w:val="77"/>
          <w:u w:val="thick" w:color="000000"/>
        </w:rPr>
        <w:t> </w:t>
      </w:r>
      <w:r>
        <w:rPr>
          <w:color w:val="ED1C24"/>
          <w:u w:val="thick" w:color="000000"/>
        </w:rPr>
        <w:tab/>
      </w:r>
      <w:r>
        <w:rPr>
          <w:color w:val="ED1C24"/>
        </w:rPr>
        <w:tab/>
      </w:r>
      <w:r>
        <w:rPr>
          <w:color w:val="ED1C24"/>
          <w:spacing w:val="-6"/>
          <w:w w:val="90"/>
        </w:rPr>
        <w:t>Гепатит</w:t>
      </w:r>
      <w:r>
        <w:rPr>
          <w:color w:val="ED1C24"/>
          <w:spacing w:val="-27"/>
          <w:w w:val="90"/>
        </w:rPr>
        <w:t> </w:t>
      </w:r>
      <w:r>
        <w:rPr>
          <w:color w:val="ED1C24"/>
          <w:w w:val="90"/>
        </w:rPr>
        <w:t>С</w:t>
      </w:r>
      <w:r>
        <w:rPr>
          <w:color w:val="ED1C24"/>
          <w:spacing w:val="-26"/>
          <w:w w:val="90"/>
        </w:rPr>
        <w:t> </w:t>
      </w:r>
      <w:r>
        <w:rPr>
          <w:color w:val="231F20"/>
          <w:w w:val="90"/>
        </w:rPr>
        <w:t>уже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многие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годы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является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излечимым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заболеванием!</w:t>
      </w:r>
    </w:p>
    <w:p>
      <w:pPr>
        <w:pStyle w:val="BodyText"/>
        <w:spacing w:line="243" w:lineRule="exact"/>
        <w:ind w:left="2179"/>
      </w:pPr>
      <w:r>
        <w:rPr>
          <w:color w:val="231F20"/>
          <w:w w:val="85"/>
        </w:rPr>
        <w:t>Прием курса специальных противовирусных препаратов приводит к полному</w:t>
      </w:r>
    </w:p>
    <w:p>
      <w:pPr>
        <w:pStyle w:val="BodyText"/>
        <w:tabs>
          <w:tab w:pos="988" w:val="left" w:leader="none"/>
          <w:tab w:pos="2179" w:val="left" w:leader="none"/>
        </w:tabs>
        <w:spacing w:line="187" w:lineRule="auto" w:before="20"/>
        <w:ind w:left="2179" w:right="939" w:hanging="1837"/>
      </w:pPr>
      <w:r>
        <w:rPr>
          <w:color w:val="231F20"/>
          <w:w w:val="77"/>
          <w:u w:val="thick" w:color="AC1E23"/>
        </w:rPr>
        <w:t> </w:t>
      </w:r>
      <w:r>
        <w:rPr>
          <w:color w:val="231F20"/>
          <w:u w:val="thick" w:color="AC1E23"/>
        </w:rPr>
        <w:tab/>
      </w:r>
      <w:r>
        <w:rPr>
          <w:color w:val="231F20"/>
        </w:rPr>
        <w:tab/>
      </w:r>
      <w:r>
        <w:rPr>
          <w:color w:val="231F20"/>
          <w:w w:val="80"/>
        </w:rPr>
        <w:t>удалению вируса из организма человека и выздоровлению от </w:t>
      </w:r>
      <w:r>
        <w:rPr>
          <w:color w:val="ED1C24"/>
          <w:w w:val="80"/>
        </w:rPr>
        <w:t>гепатита С. </w:t>
      </w:r>
      <w:r>
        <w:rPr>
          <w:color w:val="231F20"/>
          <w:w w:val="85"/>
        </w:rPr>
        <w:t>Лечение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является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безопасным,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его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могут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получать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даже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дети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с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3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5"/>
          <w:w w:val="85"/>
        </w:rPr>
        <w:t>лет.</w:t>
      </w:r>
    </w:p>
    <w:sectPr>
      <w:type w:val="continuous"/>
      <w:pgSz w:w="11910" w:h="16840"/>
      <w:pgMar w:top="0" w:bottom="0" w:left="7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Gilroy Light">
    <w:altName w:val="Gilroy Light"/>
    <w:charset w:val="0"/>
    <w:family w:val="modern"/>
    <w:pitch w:val="variable"/>
  </w:font>
  <w:font w:name="Cera Pro Black">
    <w:altName w:val="Cera Pro Black"/>
    <w:charset w:val="CC"/>
    <w:family w:val="auto"/>
    <w:pitch w:val="variable"/>
  </w:font>
  <w:font w:name="Arial Black">
    <w:altName w:val="Arial Black"/>
    <w:charset w:val="CC"/>
    <w:family w:val="swiss"/>
    <w:pitch w:val="variable"/>
  </w:font>
  <w:font w:name="FreesiaUPC">
    <w:altName w:val="FreesiaUPC"/>
    <w:charset w:val="0"/>
    <w:family w:val="swiss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37"/>
      <w:ind w:left="1859"/>
      <w:outlineLvl w:val="1"/>
    </w:pPr>
    <w:rPr>
      <w:rFonts w:ascii="Cera Pro Black" w:hAnsi="Cera Pro Black" w:eastAsia="Cera Pro Black" w:cs="Cera Pro Black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2024-01-31T11:44:28Z</dcterms:created>
  <dcterms:modified xsi:type="dcterms:W3CDTF">2024-01-31T11:44:28Z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2024-01-31T00:00:00Z</vt:filetime>
  </property>
</Properties>
</file>